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EXECUTIVE DIRECTIVE</w:t>
      </w:r>
    </w:p>
    <w:p>
      <w:pPr>
        <w:jc w:val="center"/>
      </w:pPr>
      <w:r>
        <w:rPr>
          <w:b/>
          <w:color w:val="075CCB"/>
          <w:sz w:val="16"/>
        </w:rPr>
        <w:t>FORM TL-X510 | LEVEL IV - SPECIAL ACCESS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EXECUTIVE DIRECTIVE - COMPARTMENTED DISTRIBUTION</w:t>
            </w:r>
          </w:p>
        </w:tc>
      </w:tr>
    </w:tbl>
    <w:p/>
    <w:p>
      <w:r>
        <w:rPr>
          <w:b/>
          <w:color w:val="075CCB"/>
          <w:sz w:val="20"/>
        </w:rPr>
        <w:t>DIRECTIVE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Directive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Issuing Executive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Effective Date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Program / Division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Recipients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Review Date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Prior Directive Affected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EXECUTIVE DETERMINATION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Matter Requiring Direction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Basis for Determination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Operational / Research Priority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Resources Authorized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Resources Withheld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DIRECTIVE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Action Required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Responsible Office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Completion Standard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Reporting Requirement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Disclosure Limit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Deviation Authority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OVERSIGHT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Progress Review By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Audit / Inspection Requirement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Termination / Renewal Condition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Final Disposition Authority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18"/>
        </w:rPr>
        <w:t>EXECUTIVE REMARKS / LIMITATIONS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EXECUTIVE SIGNATURE / SECURITY AUTHENTICATION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EXECUTIVE DIRECTIVE - COMPARTMENTED DISTRIBUTION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TL-X510</w:t>
            <w:br/>
            <w:t>LEVEL IV - SPECIAL ACCESS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